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Theme="minorEastAsia" w:hAnsiTheme="minorEastAsia"/>
          <w:sz w:val="18"/>
          <w:szCs w:val="18"/>
        </w:rPr>
        <w:drawing>
          <wp:inline distT="0" distB="0" distL="0" distR="0">
            <wp:extent cx="1521460" cy="680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bottom w:val="single" w:color="auto" w:sz="6" w:space="26"/>
        </w:pBdr>
        <w:tabs>
          <w:tab w:val="center" w:pos="4153"/>
          <w:tab w:val="right" w:pos="8306"/>
        </w:tabs>
        <w:snapToGrid w:val="0"/>
        <w:spacing w:before="312" w:beforeLines="100"/>
        <w:ind w:firstLine="1044" w:firstLineChars="200"/>
        <w:jc w:val="right"/>
        <w:rPr>
          <w:rFonts w:cs="Arial" w:asciiTheme="minorEastAsia" w:hAnsiTheme="minorEastAsia"/>
          <w:sz w:val="18"/>
          <w:szCs w:val="18"/>
        </w:rPr>
      </w:pPr>
      <w:r>
        <w:rPr>
          <w:rFonts w:cs="Arial" w:asciiTheme="minorEastAsia" w:hAnsiTheme="minorEastAsia"/>
          <w:b/>
          <w:sz w:val="52"/>
          <w:szCs w:val="52"/>
        </w:rPr>
        <w:t>SupWisdom Solutions</w:t>
      </w:r>
    </w:p>
    <w:p>
      <w:pPr>
        <w:widowControl/>
        <w:ind w:firstLine="964" w:firstLineChars="200"/>
        <w:jc w:val="right"/>
        <w:rPr>
          <w:rFonts w:cs="黑体" w:asciiTheme="minorEastAsia" w:hAnsiTheme="minorEastAsia"/>
          <w:b/>
          <w:kern w:val="0"/>
          <w:sz w:val="48"/>
          <w:szCs w:val="52"/>
        </w:rPr>
      </w:pPr>
    </w:p>
    <w:p>
      <w:pPr>
        <w:widowControl/>
        <w:spacing w:before="80" w:after="100" w:line="360" w:lineRule="auto"/>
        <w:ind w:firstLine="723" w:firstLineChars="200"/>
        <w:jc w:val="right"/>
        <w:rPr>
          <w:rFonts w:ascii="黑体" w:hAnsi="黑体" w:eastAsia="黑体" w:cs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EastAsia"/>
          <w:b/>
          <w:color w:val="000000" w:themeColor="text1"/>
          <w:kern w:val="0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辽宁科技学院教务系统</w:t>
      </w: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  <w:r>
        <w:rPr>
          <w:rFonts w:hint="eastAsia" w:cs="Times New Roman" w:asciiTheme="minorEastAsia" w:hAnsiTheme="minorEastAsia"/>
          <w:b/>
          <w:kern w:val="0"/>
          <w:sz w:val="56"/>
          <w:szCs w:val="44"/>
          <w:lang w:val="en-US" w:eastAsia="zh-CN"/>
        </w:rPr>
        <w:t>公共</w:t>
      </w:r>
      <w:bookmarkStart w:id="12" w:name="_GoBack"/>
      <w:bookmarkEnd w:id="12"/>
      <w:r>
        <w:rPr>
          <w:rFonts w:hint="eastAsia" w:cs="Times New Roman" w:asciiTheme="minorEastAsia" w:hAnsiTheme="minorEastAsia"/>
          <w:b/>
          <w:kern w:val="0"/>
          <w:sz w:val="56"/>
          <w:szCs w:val="44"/>
          <w:lang w:val="en-US" w:eastAsia="zh-CN"/>
        </w:rPr>
        <w:t>必修选课</w:t>
      </w:r>
      <w:r>
        <w:rPr>
          <w:rFonts w:hint="eastAsia" w:cs="Times New Roman" w:asciiTheme="minorEastAsia" w:hAnsiTheme="minorEastAsia"/>
          <w:b/>
          <w:kern w:val="0"/>
          <w:sz w:val="56"/>
          <w:szCs w:val="44"/>
        </w:rPr>
        <w:t>操作手册</w:t>
      </w:r>
    </w:p>
    <w:p>
      <w:pPr>
        <w:widowControl/>
        <w:ind w:firstLine="883" w:firstLineChars="200"/>
        <w:jc w:val="right"/>
        <w:rPr>
          <w:rFonts w:cs="Times New Roman" w:asciiTheme="minorEastAsia" w:hAnsiTheme="minorEastAsia"/>
          <w:b/>
          <w:kern w:val="0"/>
          <w:sz w:val="44"/>
          <w:szCs w:val="44"/>
        </w:rPr>
      </w:pPr>
      <w:r>
        <w:rPr>
          <w:rFonts w:hint="eastAsia" w:cs="Times New Roman" w:asciiTheme="minorEastAsia" w:hAnsiTheme="minorEastAsia"/>
          <w:b/>
          <w:kern w:val="0"/>
          <w:sz w:val="44"/>
          <w:szCs w:val="44"/>
        </w:rPr>
        <w:t>学生</w:t>
      </w:r>
      <w:r>
        <w:rPr>
          <w:rFonts w:cs="Times New Roman" w:asciiTheme="minorEastAsia" w:hAnsiTheme="minorEastAsia"/>
          <w:b/>
          <w:kern w:val="0"/>
          <w:sz w:val="44"/>
          <w:szCs w:val="44"/>
        </w:rPr>
        <w:t>端</w:t>
      </w:r>
    </w:p>
    <w:p>
      <w:pPr>
        <w:widowControl/>
        <w:ind w:right="2248" w:firstLine="1124" w:firstLineChars="200"/>
        <w:jc w:val="center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right="2248" w:firstLine="1124" w:firstLineChars="200"/>
        <w:jc w:val="center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ind w:firstLine="1124" w:firstLineChars="200"/>
        <w:jc w:val="right"/>
        <w:rPr>
          <w:rFonts w:cs="Times New Roman" w:asciiTheme="minorEastAsia" w:hAnsiTheme="minorEastAsia"/>
          <w:b/>
          <w:kern w:val="0"/>
          <w:sz w:val="56"/>
          <w:szCs w:val="44"/>
        </w:rPr>
      </w:pPr>
    </w:p>
    <w:p>
      <w:pPr>
        <w:widowControl/>
        <w:wordWrap w:val="0"/>
        <w:ind w:firstLine="562" w:firstLineChars="200"/>
        <w:jc w:val="right"/>
        <w:rPr>
          <w:rFonts w:cs="Arial" w:asciiTheme="minorEastAsia" w:hAnsiTheme="minorEastAsia"/>
          <w:b/>
          <w:kern w:val="0"/>
          <w:sz w:val="28"/>
          <w:szCs w:val="28"/>
        </w:rPr>
      </w:pPr>
      <w:bookmarkStart w:id="0" w:name="_Toc268359779"/>
      <w:bookmarkStart w:id="1" w:name="_Toc273007919"/>
      <w:bookmarkStart w:id="2" w:name="_Toc268360118"/>
      <w:bookmarkStart w:id="3" w:name="_Toc273042358"/>
      <w:r>
        <w:rPr>
          <w:rFonts w:cs="Arial" w:asciiTheme="minorEastAsia" w:hAnsiTheme="minorEastAsia"/>
          <w:b/>
          <w:kern w:val="0"/>
          <w:sz w:val="28"/>
          <w:szCs w:val="28"/>
        </w:rPr>
        <w:t>Version</w:t>
      </w:r>
      <w:bookmarkEnd w:id="0"/>
      <w:bookmarkEnd w:id="1"/>
      <w:bookmarkEnd w:id="2"/>
      <w:bookmarkEnd w:id="3"/>
      <w:r>
        <w:rPr>
          <w:rFonts w:hint="eastAsia" w:cs="Arial" w:asciiTheme="minorEastAsia" w:hAnsiTheme="minorEastAsia"/>
          <w:b/>
          <w:kern w:val="0"/>
          <w:sz w:val="28"/>
          <w:szCs w:val="28"/>
        </w:rPr>
        <w:t xml:space="preserve"> </w:t>
      </w:r>
      <w:r>
        <w:rPr>
          <w:rFonts w:cs="Arial" w:asciiTheme="minorEastAsia" w:hAnsiTheme="minorEastAsia"/>
          <w:b/>
          <w:kern w:val="0"/>
          <w:sz w:val="28"/>
          <w:szCs w:val="28"/>
        </w:rPr>
        <w:t>1.</w:t>
      </w:r>
      <w:r>
        <w:rPr>
          <w:rFonts w:hint="eastAsia" w:cs="Arial" w:asciiTheme="minorEastAsia" w:hAnsiTheme="minorEastAsia"/>
          <w:b/>
          <w:kern w:val="0"/>
          <w:sz w:val="28"/>
          <w:szCs w:val="28"/>
        </w:rPr>
        <w:t>0</w:t>
      </w:r>
    </w:p>
    <w:p>
      <w:pPr>
        <w:widowControl/>
        <w:spacing w:line="400" w:lineRule="exact"/>
        <w:ind w:firstLine="482" w:firstLineChars="200"/>
        <w:jc w:val="right"/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</w:pPr>
      <w:bookmarkStart w:id="4" w:name="_Toc273042359"/>
      <w:bookmarkStart w:id="5" w:name="_Toc268359780"/>
      <w:bookmarkStart w:id="6" w:name="_Toc268360119"/>
      <w:bookmarkStart w:id="7" w:name="_Toc273007920"/>
      <w:r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  <w:t>Written By Shanghai Su</w:t>
      </w:r>
      <w:r>
        <w:rPr>
          <w:rFonts w:hint="eastAsia" w:cs="Arial" w:asciiTheme="minorEastAsia" w:hAnsiTheme="minorEastAsia"/>
          <w:b/>
          <w:kern w:val="0"/>
          <w:sz w:val="24"/>
          <w:szCs w:val="20"/>
          <w:lang w:eastAsia="en-US"/>
        </w:rPr>
        <w:t>p</w:t>
      </w:r>
      <w:r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  <w:t>Wisdom Information Technology Co.,</w:t>
      </w:r>
      <w:r>
        <w:rPr>
          <w:rFonts w:hint="eastAsia" w:cs="Arial" w:asciiTheme="minorEastAsia" w:hAnsiTheme="minorEastAsia"/>
          <w:b/>
          <w:kern w:val="0"/>
          <w:sz w:val="24"/>
          <w:szCs w:val="20"/>
          <w:lang w:eastAsia="en-US"/>
        </w:rPr>
        <w:t xml:space="preserve"> </w:t>
      </w:r>
      <w:r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  <w:t>L</w:t>
      </w:r>
      <w:r>
        <w:rPr>
          <w:rFonts w:hint="eastAsia" w:cs="Arial" w:asciiTheme="minorEastAsia" w:hAnsiTheme="minorEastAsia"/>
          <w:b/>
          <w:kern w:val="0"/>
          <w:sz w:val="24"/>
          <w:szCs w:val="20"/>
          <w:lang w:eastAsia="en-US"/>
        </w:rPr>
        <w:t>TD</w:t>
      </w:r>
      <w:r>
        <w:rPr>
          <w:rFonts w:cs="Arial" w:asciiTheme="minorEastAsia" w:hAnsiTheme="minorEastAsia"/>
          <w:b/>
          <w:kern w:val="0"/>
          <w:sz w:val="24"/>
          <w:szCs w:val="20"/>
          <w:lang w:eastAsia="en-US"/>
        </w:rPr>
        <w:t>.</w:t>
      </w:r>
      <w:bookmarkEnd w:id="4"/>
      <w:bookmarkEnd w:id="5"/>
      <w:bookmarkEnd w:id="6"/>
      <w:bookmarkEnd w:id="7"/>
    </w:p>
    <w:p>
      <w:pPr>
        <w:widowControl/>
        <w:spacing w:line="400" w:lineRule="exact"/>
        <w:ind w:firstLine="643" w:firstLineChars="200"/>
        <w:jc w:val="right"/>
        <w:rPr>
          <w:rFonts w:cs="黑体" w:asciiTheme="minorEastAsia" w:hAnsiTheme="minorEastAsia"/>
          <w:b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kern w:val="0"/>
          <w:sz w:val="32"/>
          <w:szCs w:val="32"/>
        </w:rPr>
        <w:t>上海树维信息科技有限公司</w:t>
      </w:r>
    </w:p>
    <w:p>
      <w:pPr>
        <w:widowControl/>
        <w:spacing w:line="400" w:lineRule="exact"/>
        <w:ind w:firstLine="562" w:firstLineChars="200"/>
        <w:jc w:val="right"/>
        <w:rPr>
          <w:rFonts w:hint="eastAsia" w:cs="Arial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cs="Arial" w:asciiTheme="minorEastAsia" w:hAnsiTheme="minorEastAsia"/>
          <w:b/>
          <w:kern w:val="0"/>
          <w:sz w:val="28"/>
          <w:szCs w:val="28"/>
        </w:rPr>
        <w:t>©201</w:t>
      </w:r>
      <w:r>
        <w:rPr>
          <w:rFonts w:hint="eastAsia" w:cs="Arial" w:asciiTheme="minorEastAsia" w:hAnsiTheme="minorEastAsia"/>
          <w:b/>
          <w:kern w:val="0"/>
          <w:sz w:val="28"/>
          <w:szCs w:val="28"/>
          <w:lang w:val="en-US" w:eastAsia="zh-CN"/>
        </w:rPr>
        <w:t>9</w:t>
      </w:r>
    </w:p>
    <w:p>
      <w:pPr>
        <w:widowControl/>
        <w:spacing w:line="400" w:lineRule="exact"/>
        <w:ind w:firstLine="482" w:firstLineChars="200"/>
        <w:jc w:val="right"/>
        <w:rPr>
          <w:rFonts w:cs="Arial" w:asciiTheme="minorEastAsia" w:hAnsiTheme="minorEastAsia"/>
          <w:b/>
          <w:kern w:val="0"/>
          <w:sz w:val="24"/>
          <w:szCs w:val="20"/>
        </w:rPr>
      </w:pPr>
      <w:bookmarkStart w:id="8" w:name="_Toc273007921"/>
      <w:bookmarkStart w:id="9" w:name="_Toc268359781"/>
      <w:bookmarkStart w:id="10" w:name="_Toc273042360"/>
      <w:bookmarkStart w:id="11" w:name="_Toc268360120"/>
      <w:r>
        <w:rPr>
          <w:rFonts w:cs="Arial" w:asciiTheme="minorEastAsia" w:hAnsiTheme="minorEastAsia"/>
          <w:b/>
          <w:kern w:val="0"/>
          <w:sz w:val="24"/>
          <w:szCs w:val="20"/>
        </w:rPr>
        <w:t>All Rig</w:t>
      </w:r>
      <w:r>
        <w:rPr>
          <w:rFonts w:hint="eastAsia" w:cs="Arial" w:asciiTheme="minorEastAsia" w:hAnsiTheme="minorEastAsia"/>
          <w:b/>
          <w:kern w:val="0"/>
          <w:sz w:val="24"/>
          <w:szCs w:val="20"/>
        </w:rPr>
        <w:t>h</w:t>
      </w:r>
      <w:r>
        <w:rPr>
          <w:rFonts w:cs="Arial" w:asciiTheme="minorEastAsia" w:hAnsiTheme="minorEastAsia"/>
          <w:b/>
          <w:kern w:val="0"/>
          <w:sz w:val="24"/>
          <w:szCs w:val="20"/>
        </w:rPr>
        <w:t>ts Reserved</w:t>
      </w:r>
      <w:bookmarkEnd w:id="8"/>
      <w:bookmarkEnd w:id="9"/>
      <w:bookmarkEnd w:id="10"/>
      <w:bookmarkEnd w:id="11"/>
    </w:p>
    <w:p>
      <w:pPr>
        <w:pStyle w:val="9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选课流程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：【我的】—【</w:t>
      </w:r>
      <w:r>
        <w:rPr>
          <w:rFonts w:hint="eastAsia"/>
          <w:sz w:val="28"/>
          <w:szCs w:val="28"/>
          <w:lang w:val="en-US" w:eastAsia="zh-CN"/>
        </w:rPr>
        <w:t>选课</w:t>
      </w:r>
      <w:r>
        <w:rPr>
          <w:rFonts w:hint="eastAsia"/>
          <w:sz w:val="28"/>
          <w:szCs w:val="28"/>
        </w:rPr>
        <w:t>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界面如下：</w:t>
      </w:r>
    </w:p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9230" cy="2387600"/>
            <wp:effectExtent l="0" t="0" r="762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勾选“我已阅读注意事项”，再点击“进入选课&gt;&gt;&gt;&gt;”</w:t>
      </w:r>
    </w:p>
    <w:p>
      <w:r>
        <w:drawing>
          <wp:inline distT="0" distB="0" distL="114300" distR="114300">
            <wp:extent cx="5271135" cy="1539240"/>
            <wp:effectExtent l="0" t="0" r="5715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进入选课界面如下，点击任务后的“选课”按钮，弹出选课成功提示框，即完成该任务的选课。</w:t>
      </w:r>
    </w:p>
    <w:p>
      <w:r>
        <w:drawing>
          <wp:inline distT="0" distB="0" distL="114300" distR="114300">
            <wp:extent cx="5267325" cy="1937385"/>
            <wp:effectExtent l="0" t="0" r="9525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1297305"/>
            <wp:effectExtent l="0" t="0" r="6985" b="171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选中的任务会进入到“已选课程”中，点击“退课”按钮可退该任务。（注意，非本轮次所选的任务或学校指定的课程不能退课）</w:t>
      </w:r>
    </w:p>
    <w:p>
      <w:r>
        <w:drawing>
          <wp:inline distT="0" distB="0" distL="114300" distR="114300">
            <wp:extent cx="5269230" cy="2387600"/>
            <wp:effectExtent l="0" t="0" r="7620" b="1270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注意：有降级情况的同学，若在降级前修读时未通过，“可选课程”中会存在多个课程，只可以选择当前所在班级的任务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rPr>
          <w:sz w:val="28"/>
          <w:szCs w:val="28"/>
        </w:rPr>
      </w:pPr>
    </w:p>
    <w:p>
      <w:pPr>
        <w:pStyle w:val="9"/>
        <w:widowControl/>
        <w:numPr>
          <w:ilvl w:val="0"/>
          <w:numId w:val="1"/>
        </w:numPr>
        <w:pBdr>
          <w:bottom w:val="single" w:color="4472C4" w:sz="12" w:space="1"/>
        </w:pBdr>
        <w:shd w:val="clear" w:color="auto" w:fill="F2F2F2"/>
        <w:spacing w:before="80" w:after="100" w:line="360" w:lineRule="auto"/>
        <w:ind w:firstLineChars="0"/>
        <w:jc w:val="left"/>
        <w:outlineLvl w:val="1"/>
        <w:rPr>
          <w:rFonts w:cs="Times New Roman" w:asciiTheme="minorEastAsia" w:hAnsiTheme="minorEastAsia"/>
          <w:b/>
          <w:color w:val="4472C4"/>
          <w:kern w:val="0"/>
          <w:sz w:val="30"/>
        </w:rPr>
      </w:pPr>
      <w:r>
        <w:rPr>
          <w:rFonts w:hint="eastAsia" w:cs="Times New Roman" w:asciiTheme="minorEastAsia" w:hAnsiTheme="minorEastAsia"/>
          <w:b/>
          <w:color w:val="4472C4"/>
          <w:kern w:val="0"/>
          <w:sz w:val="30"/>
          <w:lang w:val="en-US" w:eastAsia="zh-CN"/>
        </w:rPr>
        <w:t>学生无法选课的特殊情况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若学生有降级情况，并之前修读未通过时，在“可选课程”中会存在多个任务，只可以选择当前所在班级的任务，点击“重修”按钮即可选课。（若选择其他班级的任务，会给出选课失败提示）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69230" cy="1142365"/>
            <wp:effectExtent l="0" t="0" r="7620" b="6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若“可选课程”界面缺少应选课程，在“已修课程”界面中查看是否已经修读完成，若已完成修读，则不需要再选课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68595" cy="1233170"/>
            <wp:effectExtent l="0" t="0" r="8255" b="508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若“已修课程”界面中也没有应修课程，咨询院系或教务处是否开课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5B0654"/>
    <w:multiLevelType w:val="singleLevel"/>
    <w:tmpl w:val="CB5B06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E593889"/>
    <w:multiLevelType w:val="multilevel"/>
    <w:tmpl w:val="5E593889"/>
    <w:lvl w:ilvl="0" w:tentative="0">
      <w:start w:val="1"/>
      <w:numFmt w:val="japaneseCounting"/>
      <w:lvlText w:val="%1、"/>
      <w:lvlJc w:val="left"/>
      <w:pPr>
        <w:ind w:left="624" w:hanging="62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21"/>
    <w:rsid w:val="000019A8"/>
    <w:rsid w:val="00046ED9"/>
    <w:rsid w:val="00121198"/>
    <w:rsid w:val="00193314"/>
    <w:rsid w:val="001C2F63"/>
    <w:rsid w:val="00231E7E"/>
    <w:rsid w:val="00247573"/>
    <w:rsid w:val="00280DC5"/>
    <w:rsid w:val="002C09CC"/>
    <w:rsid w:val="002C0C43"/>
    <w:rsid w:val="002D7FA8"/>
    <w:rsid w:val="00361302"/>
    <w:rsid w:val="003763C5"/>
    <w:rsid w:val="003E2AB8"/>
    <w:rsid w:val="003E34B8"/>
    <w:rsid w:val="003F278C"/>
    <w:rsid w:val="004134FF"/>
    <w:rsid w:val="00581204"/>
    <w:rsid w:val="00583757"/>
    <w:rsid w:val="006704AE"/>
    <w:rsid w:val="006B6370"/>
    <w:rsid w:val="0074128C"/>
    <w:rsid w:val="00796DFF"/>
    <w:rsid w:val="0087470B"/>
    <w:rsid w:val="008C360B"/>
    <w:rsid w:val="009A5A21"/>
    <w:rsid w:val="00A46600"/>
    <w:rsid w:val="00A773AC"/>
    <w:rsid w:val="00AE2C54"/>
    <w:rsid w:val="00AF723A"/>
    <w:rsid w:val="00D90906"/>
    <w:rsid w:val="00DF2C81"/>
    <w:rsid w:val="00F72320"/>
    <w:rsid w:val="00FB504D"/>
    <w:rsid w:val="00FF7031"/>
    <w:rsid w:val="4CAD44E1"/>
    <w:rsid w:val="707C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CDBF0E-985D-4427-97E2-2846D9131B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Lines>3</Lines>
  <Paragraphs>1</Paragraphs>
  <TotalTime>6</TotalTime>
  <ScaleCrop>false</ScaleCrop>
  <LinksUpToDate>false</LinksUpToDate>
  <CharactersWithSpaces>493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2018-12-12T04:04:00Z</dcterms:created>
  <dc:creator>sw-tyh</dc:creator>
  <cp:lastModifiedBy>好名字可以让你的朋友更容易记住你</cp:lastModifiedBy>
  <dcterms:modified xsi:type="dcterms:W3CDTF">2019-04-10T06:53:16Z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